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0"/>
      </w:pPr>
      <w:r>
        <w:rPr>
          <w:rFonts w:ascii="Montserrat" w:cs="Montserrat" w:eastAsia="Montserrat" w:hAnsi="Montserrat"/>
          <w:b/>
          <w:bCs/>
          <w:color w:val="42127F"/>
          <w:sz w:val="22"/>
          <w:szCs w:val="22"/>
        </w:rPr>
        <w:t xml:space="preserve">ESTHER FUNDS FOUNDATION</w:t>
      </w:r>
    </w:p>
    <w:p>
      <w:pPr>
        <w:spacing w:after="100"/>
      </w:pPr>
      <w:r>
        <w:rPr>
          <w:rFonts w:ascii="Bebas Neue" w:cs="Bebas Neue" w:eastAsia="Bebas Neue" w:hAnsi="Bebas Neue"/>
          <w:b/>
          <w:bCs/>
          <w:color w:val="2B0A63"/>
          <w:sz w:val="46"/>
          <w:szCs w:val="46"/>
        </w:rPr>
        <w:t xml:space="preserve">CAMPUS PRESENTATION SPEAKER GUIDE</w:t>
      </w:r>
    </w:p>
    <w:p>
      <w:pPr>
        <w:spacing w:after="220"/>
      </w:pPr>
      <w:r>
        <w:rPr>
          <w:rFonts w:ascii="Playfair Display" w:cs="Playfair Display" w:eastAsia="Playfair Display" w:hAnsi="Playfair Display"/>
          <w:i/>
          <w:iCs/>
          <w:color w:val="42127F"/>
          <w:sz w:val="24"/>
          <w:szCs w:val="24"/>
        </w:rPr>
        <w:t xml:space="preserve">Slide-by-slide notes for a clear, truthful campus conversation</w:t>
      </w:r>
    </w:p>
    <w:p>
      <w:pPr>
        <w:shd w:fill="2B0A63" w:val="clear"/>
        <w:spacing w:after="260" w:before="100"/>
        <w:ind w:left="180" w:right="180"/>
      </w:pPr>
      <w:r>
        <w:rPr>
          <w:rFonts w:ascii="Montserrat" w:cs="Montserrat" w:eastAsia="Montserrat" w:hAnsi="Montserrat"/>
          <w:b/>
          <w:bCs/>
          <w:color w:val="FFFFFF"/>
          <w:sz w:val="18"/>
          <w:szCs w:val="18"/>
        </w:rPr>
        <w:t xml:space="preserve">PROPOSED MODEL POLICY · VERSION 0.1 · NO BILL NUMBER · NOT INTRODUCED OR ENACTED</w:t>
      </w:r>
    </w:p>
    <w:p>
      <w:pPr>
        <w:pStyle w:val="Heading2"/>
        <w:spacing w:after="80" w:before="220"/>
      </w:pPr>
      <w:r>
        <w:t xml:space="preserve">1 · Opening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Welcome participants. State clearly that this is a proposed model policy, not introduced legislation. Ask the audience to hold implementation questions for discussion.</w:t>
      </w:r>
    </w:p>
    <w:p>
      <w:pPr>
        <w:pStyle w:val="Heading2"/>
        <w:spacing w:after="80" w:before="220"/>
      </w:pPr>
      <w:r>
        <w:t xml:space="preserve">2 · Why this conversation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Explain that temporary emergencies can disrupt persistence. Do not add unverified statistics. Invite participants to think about the current path a student must navigate on your campus.</w:t>
      </w:r>
    </w:p>
    <w:p>
      <w:pPr>
        <w:pStyle w:val="Heading2"/>
        <w:spacing w:after="80" w:before="220"/>
      </w:pPr>
      <w:r>
        <w:t xml:space="preserve">3 · What Every Future Fulfilled is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Describe EFF’s policy movement and its focus on funded, timely, accessible, accountable systems.</w:t>
      </w:r>
    </w:p>
    <w:p>
      <w:pPr>
        <w:pStyle w:val="Heading2"/>
        <w:spacing w:after="80" w:before="220"/>
      </w:pPr>
      <w:r>
        <w:t xml:space="preserve">4 · Current status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Read the status disclosure word for word. Emphasize that feedback and review are part of responsible policy development.</w:t>
      </w:r>
    </w:p>
    <w:p>
      <w:pPr>
        <w:pStyle w:val="Heading2"/>
        <w:spacing w:after="80" w:before="220"/>
      </w:pPr>
      <w:r>
        <w:t xml:space="preserve">5 · Barriers the model addresses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Name categories of barriers without asking attendees to disclose personal or medical details.</w:t>
      </w:r>
    </w:p>
    <w:p>
      <w:pPr>
        <w:pStyle w:val="Heading2"/>
        <w:spacing w:after="80" w:before="220"/>
      </w:pPr>
      <w:r>
        <w:t xml:space="preserve">6 · The proposed pathway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Walk through application, case number, navigator, decision, protection, grant, and appeal.</w:t>
      </w:r>
    </w:p>
    <w:p>
      <w:pPr>
        <w:pStyle w:val="Heading2"/>
        <w:spacing w:after="80" w:before="220"/>
      </w:pPr>
      <w:r>
        <w:t xml:space="preserve">7 · Student protections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Explain written notice, accessibility, privacy, appeals, and anti-retaliation.</w:t>
      </w:r>
    </w:p>
    <w:p>
      <w:pPr>
        <w:pStyle w:val="Heading2"/>
        <w:spacing w:after="80" w:before="220"/>
      </w:pPr>
      <w:r>
        <w:t xml:space="preserve">8 · Campus conversation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Ask what already exists, where delays or handoffs occur, and what resources would be needed.</w:t>
      </w:r>
    </w:p>
    <w:p>
      <w:pPr>
        <w:pStyle w:val="Heading2"/>
        <w:spacing w:after="80" w:before="220"/>
      </w:pPr>
      <w:r>
        <w:t xml:space="preserve">9 · Verified support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Explain individual submission, email verification, public-display consent, review, and withdrawal rights.</w:t>
      </w:r>
    </w:p>
    <w:p>
      <w:pPr>
        <w:pStyle w:val="Heading2"/>
        <w:spacing w:after="80" w:before="220"/>
      </w:pPr>
      <w:r>
        <w:t xml:space="preserve">10 · Separate pathways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Clarify endorsement, research, storytelling, and student help are different actions.</w:t>
      </w:r>
    </w:p>
    <w:p>
      <w:pPr>
        <w:pStyle w:val="Heading2"/>
        <w:spacing w:after="80" w:before="220"/>
      </w:pPr>
      <w:r>
        <w:t xml:space="preserve">11 · Campus action plan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Invite a small working group and identify one concrete follow-up meeting.</w:t>
      </w:r>
    </w:p>
    <w:p>
      <w:pPr>
        <w:pStyle w:val="Heading2"/>
        <w:spacing w:after="80" w:before="220"/>
      </w:pPr>
      <w:r>
        <w:t xml:space="preserve">12 · Close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Direct participants to the official site for current files and verified endorsement. Thank them and record questions for EFF.</w:t>
      </w:r>
    </w:p>
    <w:p>
      <w:pPr>
        <w:pBdr>
          <w:top w:val="single" w:color="B799E3" w:sz="8"/>
        </w:pBdr>
        <w:spacing w:after="120" w:before="320"/>
      </w:pPr>
    </w:p>
    <w:p>
      <w:pPr>
        <w:jc w:val="center"/>
      </w:pPr>
      <w:r>
        <w:rPr>
          <w:rFonts w:ascii="Montserrat" w:cs="Montserrat" w:eastAsia="Montserrat" w:hAnsi="Montserrat"/>
          <w:b/>
          <w:bCs/>
          <w:color w:val="42127F"/>
          <w:sz w:val="18"/>
          <w:szCs w:val="18"/>
        </w:rPr>
        <w:t xml:space="preserve">policy.estherfundsfoundation.org  ·  nationals@estherfundsinc.org</w:t>
      </w:r>
    </w:p>
    <w:p>
      <w:pPr>
        <w:jc w:val="center"/>
      </w:pPr>
      <w:r>
        <w:rPr>
          <w:rFonts w:ascii="Playfair Display" w:cs="Playfair Display" w:eastAsia="Playfair Display" w:hAnsi="Playfair Display"/>
          <w:i/>
          <w:iCs/>
          <w:color w:val="2B0A63"/>
          <w:sz w:val="22"/>
          <w:szCs w:val="22"/>
        </w:rPr>
        <w:t xml:space="preserve">Every Future Fulfilled.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ntserrat" w:cs="Montserrat" w:eastAsia="Montserrat" w:hAnsi="Montserrat"/>
        <w:color w:val="24212A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rFonts w:ascii="Bebas Neue" w:cs="Bebas Neue" w:eastAsia="Bebas Neue" w:hAnsi="Bebas Neue"/>
      <w:b/>
      <w:bCs/>
      <w:color w:val="2B0A63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Bebas Neue" w:cs="Bebas Neue" w:eastAsia="Bebas Neue" w:hAnsi="Bebas Neue"/>
      <w:b/>
      <w:bCs/>
      <w:color w:val="2B0A63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80" w:before="220"/>
    </w:pPr>
    <w:rPr>
      <w:rFonts w:ascii="Montserrat" w:cs="Montserrat" w:eastAsia="Montserrat" w:hAnsi="Montserrat"/>
      <w:b/>
      <w:bCs/>
      <w:color w:val="42127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2026-07-29T19:02:13.834Z</dcterms:created>
  <dcterms:modified xsi:type="dcterms:W3CDTF">2026-07-29T19:02:13.834Z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