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80"/>
      </w:pPr>
      <w:r>
        <w:rPr>
          <w:rFonts w:ascii="Montserrat" w:cs="Montserrat" w:eastAsia="Montserrat" w:hAnsi="Montserrat"/>
          <w:b/>
          <w:bCs/>
          <w:color w:val="42127F"/>
          <w:sz w:val="22"/>
          <w:szCs w:val="22"/>
        </w:rPr>
        <w:t xml:space="preserve">ESTHER FUNDS FOUNDATION</w:t>
      </w:r>
    </w:p>
    <w:p>
      <w:pPr>
        <w:spacing w:after="100"/>
      </w:pPr>
      <w:r>
        <w:rPr>
          <w:rFonts w:ascii="Bebas Neue" w:cs="Bebas Neue" w:eastAsia="Bebas Neue" w:hAnsi="Bebas Neue"/>
          <w:b/>
          <w:bCs/>
          <w:color w:val="2B0A63"/>
          <w:sz w:val="46"/>
          <w:szCs w:val="46"/>
        </w:rPr>
        <w:t xml:space="preserve">EVERY FUTURE FULFILLED</w:t>
      </w:r>
    </w:p>
    <w:p>
      <w:pPr>
        <w:spacing w:after="220"/>
      </w:pPr>
      <w:r>
        <w:rPr>
          <w:rFonts w:ascii="Playfair Display" w:cs="Playfair Display" w:eastAsia="Playfair Display" w:hAnsi="Playfair Display"/>
          <w:i/>
          <w:iCs/>
          <w:color w:val="42127F"/>
          <w:sz w:val="24"/>
          <w:szCs w:val="24"/>
        </w:rPr>
        <w:t xml:space="preserve">National policy proposal and stakeholder briefing</w:t>
      </w:r>
    </w:p>
    <w:p>
      <w:pPr>
        <w:shd w:fill="2B0A63" w:val="clear"/>
        <w:spacing w:after="260" w:before="100"/>
        <w:ind w:left="180" w:right="180"/>
      </w:pPr>
      <w:r>
        <w:rPr>
          <w:rFonts w:ascii="Montserrat" w:cs="Montserrat" w:eastAsia="Montserrat" w:hAnsi="Montserrat"/>
          <w:b/>
          <w:bCs/>
          <w:color w:val="FFFFFF"/>
          <w:sz w:val="18"/>
          <w:szCs w:val="18"/>
        </w:rPr>
        <w:t xml:space="preserve">PROPOSED MODEL POLICY · VERSION 0.1 · NO BILL NUMBER · NOT INTRODUCED OR ENACTED</w:t>
      </w:r>
    </w:p>
    <w:p>
      <w:pPr>
        <w:pStyle w:val="Heading1"/>
        <w:spacing w:after="120" w:before="300"/>
      </w:pPr>
      <w:r>
        <w:t xml:space="preserve">Executive summary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One emergency should not end a college education. Every Future Fulfilled proposes a funded, timely, accessible, and accountable Student Emergency Retention System at covered colleges and universities.</w:t>
      </w:r>
    </w:p>
    <w:p>
      <w:pPr>
        <w:pStyle w:val="Heading1"/>
        <w:spacing w:after="120" w:before="300"/>
      </w:pPr>
      <w:r>
        <w:t xml:space="preserve">The policy problem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Students may face temporary barriers involving housing, food, transportation, child care, health, technology, course costs, family emergencies, or qualifying institutional balances. Disconnected referrals and unclear processes can turn a temporary emergency into an enrollment interruption.</w:t>
      </w:r>
    </w:p>
    <w:p>
      <w:pPr>
        <w:pStyle w:val="Heading1"/>
        <w:spacing w:after="120" w:before="300"/>
      </w:pPr>
      <w:r>
        <w:t xml:space="preserve">The proposed system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One accessible emergency application available online, by phone, and in person.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One case number and one assigned navigator responsible for coordination.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Rapid written decisions that reflect the urgency of the barrier.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Temporary enrollment, class, and housing protections during timely review and appeal.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Non-repayable emergency assistance that addresses the underlying barrier.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A clear appeal process, independent review, complaint pathway, and anti-retaliation safeguards.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Public reporting on funding, access, processing times, decisions, and retention outcomes.</w:t>
      </w:r>
    </w:p>
    <w:p>
      <w:pPr>
        <w:pStyle w:val="Heading1"/>
        <w:spacing w:after="120" w:before="300"/>
      </w:pPr>
      <w:r>
        <w:t xml:space="preserve">Student rights and safeguards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Plain-language notices and accessible communications.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Data minimization and purpose-limited use.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Separate consent for institutional-balance assistance.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Written reasons for adverse decisions.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No requirement to disclose highly sensitive information beyond what is necessary.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A meaningful right to appeal without retaliation.</w:t>
      </w:r>
    </w:p>
    <w:p>
      <w:pPr>
        <w:pStyle w:val="Heading1"/>
        <w:spacing w:after="120" w:before="300"/>
      </w:pPr>
      <w:r>
        <w:t xml:space="preserve">Questions for legal and fiscal review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Which institutions and students should be covered?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What public and institutional funding mechanisms are sustainable?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What timelines are operationally feasible while preserving urgency?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Which enrollment protections can be implemented under existing state and federal law?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What reporting provides accountability without exposing student identities?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How should implementation be phased and evaluated?</w:t>
      </w:r>
    </w:p>
    <w:p>
      <w:pPr>
        <w:pStyle w:val="Heading1"/>
        <w:spacing w:after="120" w:before="300"/>
      </w:pPr>
      <w:r>
        <w:t xml:space="preserve">How to participate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Review the model draft, submit feedback, endorse the proposal through the verified public form, or request a briefing at policy.estherfundsfoundation.org. Students seeking assistance must use the separate National Student Help Desk.</w:t>
      </w:r>
    </w:p>
    <w:p>
      <w:pPr>
        <w:pBdr>
          <w:top w:val="single" w:color="B799E3" w:sz="8"/>
        </w:pBdr>
        <w:spacing w:after="120" w:before="320"/>
      </w:pPr>
    </w:p>
    <w:p>
      <w:pPr>
        <w:jc w:val="center"/>
      </w:pPr>
      <w:r>
        <w:rPr>
          <w:rFonts w:ascii="Montserrat" w:cs="Montserrat" w:eastAsia="Montserrat" w:hAnsi="Montserrat"/>
          <w:b/>
          <w:bCs/>
          <w:color w:val="42127F"/>
          <w:sz w:val="18"/>
          <w:szCs w:val="18"/>
        </w:rPr>
        <w:t xml:space="preserve">policy.estherfundsfoundation.org  ·  nationals@estherfundsinc.org</w:t>
      </w:r>
    </w:p>
    <w:p>
      <w:pPr>
        <w:jc w:val="center"/>
      </w:pPr>
      <w:r>
        <w:rPr>
          <w:rFonts w:ascii="Playfair Display" w:cs="Playfair Display" w:eastAsia="Playfair Display" w:hAnsi="Playfair Display"/>
          <w:i/>
          <w:iCs/>
          <w:color w:val="2B0A63"/>
          <w:sz w:val="22"/>
          <w:szCs w:val="22"/>
        </w:rPr>
        <w:t xml:space="preserve">Every Future Fulfilled.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ontserrat" w:cs="Montserrat" w:eastAsia="Montserrat" w:hAnsi="Montserrat"/>
        <w:color w:val="24212A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rPr>
      <w:rFonts w:ascii="Bebas Neue" w:cs="Bebas Neue" w:eastAsia="Bebas Neue" w:hAnsi="Bebas Neue"/>
      <w:b/>
      <w:bCs/>
      <w:color w:val="2B0A63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280"/>
    </w:pPr>
    <w:rPr>
      <w:rFonts w:ascii="Bebas Neue" w:cs="Bebas Neue" w:eastAsia="Bebas Neue" w:hAnsi="Bebas Neue"/>
      <w:b/>
      <w:bCs/>
      <w:color w:val="2B0A63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80" w:before="220"/>
    </w:pPr>
    <w:rPr>
      <w:rFonts w:ascii="Montserrat" w:cs="Montserrat" w:eastAsia="Montserrat" w:hAnsi="Montserrat"/>
      <w:b/>
      <w:bCs/>
      <w:color w:val="42127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2026-07-29T19:02:13.785Z</dcterms:created>
  <dcterms:modified xsi:type="dcterms:W3CDTF">2026-07-29T19:02:13.785Z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